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6A971" w14:textId="77777777" w:rsidR="00D57341" w:rsidRDefault="00D57341" w:rsidP="00D57341">
      <w:pPr>
        <w:spacing w:line="480" w:lineRule="auto"/>
        <w:rPr>
          <w:rFonts w:ascii="Times New Roman" w:hAnsi="Times New Roman" w:cs="Times New Roman"/>
          <w:shd w:val="clear" w:color="auto" w:fill="FFFFFF"/>
        </w:rPr>
      </w:pPr>
    </w:p>
    <w:p w14:paraId="72AB94AA" w14:textId="77777777" w:rsidR="00D57341" w:rsidRDefault="00D57341" w:rsidP="00D57341">
      <w:pPr>
        <w:spacing w:line="480" w:lineRule="auto"/>
        <w:rPr>
          <w:rFonts w:ascii="Times New Roman" w:hAnsi="Times New Roman" w:cs="Times New Roman"/>
          <w:shd w:val="clear" w:color="auto" w:fill="FFFFFF"/>
        </w:rPr>
      </w:pPr>
    </w:p>
    <w:p w14:paraId="4E67C030" w14:textId="77777777" w:rsidR="00D57341" w:rsidRDefault="00D57341" w:rsidP="00D57341">
      <w:pPr>
        <w:spacing w:line="480" w:lineRule="auto"/>
        <w:rPr>
          <w:rFonts w:ascii="Times New Roman" w:hAnsi="Times New Roman" w:cs="Times New Roman"/>
          <w:shd w:val="clear" w:color="auto" w:fill="FFFFFF"/>
        </w:rPr>
      </w:pPr>
    </w:p>
    <w:p w14:paraId="51CFE4A1" w14:textId="77777777" w:rsidR="00D57341" w:rsidRDefault="00D57341" w:rsidP="00D57341">
      <w:pPr>
        <w:spacing w:line="480" w:lineRule="auto"/>
        <w:rPr>
          <w:rFonts w:ascii="Times New Roman" w:hAnsi="Times New Roman" w:cs="Times New Roman"/>
          <w:shd w:val="clear" w:color="auto" w:fill="FFFFFF"/>
        </w:rPr>
      </w:pPr>
    </w:p>
    <w:p w14:paraId="4A996283" w14:textId="77777777" w:rsidR="00D57341" w:rsidRDefault="00D57341" w:rsidP="00D57341">
      <w:pPr>
        <w:spacing w:line="480" w:lineRule="auto"/>
        <w:rPr>
          <w:rFonts w:ascii="Times New Roman" w:hAnsi="Times New Roman" w:cs="Times New Roman"/>
          <w:shd w:val="clear" w:color="auto" w:fill="FFFFFF"/>
        </w:rPr>
      </w:pPr>
    </w:p>
    <w:p w14:paraId="35F3EEA2" w14:textId="77777777" w:rsidR="00D57341" w:rsidRDefault="00D57341" w:rsidP="00D57341">
      <w:pPr>
        <w:spacing w:line="480" w:lineRule="auto"/>
        <w:rPr>
          <w:rFonts w:ascii="Times New Roman" w:hAnsi="Times New Roman" w:cs="Times New Roman"/>
          <w:shd w:val="clear" w:color="auto" w:fill="FFFFFF"/>
        </w:rPr>
      </w:pPr>
    </w:p>
    <w:p w14:paraId="56AEE14A" w14:textId="77777777" w:rsidR="00D57341" w:rsidRDefault="00D57341" w:rsidP="00D57341">
      <w:pPr>
        <w:spacing w:line="480" w:lineRule="auto"/>
        <w:jc w:val="center"/>
        <w:rPr>
          <w:rFonts w:ascii="Times New Roman" w:hAnsi="Times New Roman" w:cs="Times New Roman"/>
          <w:shd w:val="clear" w:color="auto" w:fill="FFFFFF"/>
        </w:rPr>
      </w:pPr>
    </w:p>
    <w:p w14:paraId="4DF4CB46" w14:textId="506A4FD3" w:rsidR="00D57341" w:rsidRDefault="000C35A1" w:rsidP="00D57341">
      <w:pPr>
        <w:spacing w:line="480" w:lineRule="auto"/>
        <w:jc w:val="center"/>
        <w:rPr>
          <w:rFonts w:ascii="Times New Roman" w:hAnsi="Times New Roman" w:cs="Times New Roman"/>
        </w:rPr>
      </w:pPr>
      <w:r>
        <w:rPr>
          <w:rFonts w:ascii="Times New Roman" w:hAnsi="Times New Roman" w:cs="Times New Roman"/>
        </w:rPr>
        <w:t xml:space="preserve">CRIJ 5312- Constitutional Law for Criminal Justice </w:t>
      </w:r>
    </w:p>
    <w:p w14:paraId="0E03D2E7" w14:textId="4B5FAEB0" w:rsidR="00340CF3" w:rsidRDefault="00340CF3" w:rsidP="00340CF3">
      <w:pPr>
        <w:spacing w:line="480" w:lineRule="auto"/>
        <w:jc w:val="center"/>
        <w:rPr>
          <w:rFonts w:ascii="Times New Roman" w:hAnsi="Times New Roman" w:cs="Times New Roman"/>
          <w:shd w:val="clear" w:color="auto" w:fill="FFFFFF"/>
        </w:rPr>
      </w:pPr>
      <w:r>
        <w:rPr>
          <w:rFonts w:ascii="Times New Roman" w:hAnsi="Times New Roman" w:cs="Times New Roman"/>
          <w:shd w:val="clear" w:color="auto" w:fill="FFFFFF"/>
        </w:rPr>
        <w:t>Spring 2020</w:t>
      </w:r>
    </w:p>
    <w:p w14:paraId="07A82253" w14:textId="1058555B" w:rsidR="00340CF3" w:rsidRPr="00577EBC" w:rsidRDefault="00340CF3" w:rsidP="00340CF3">
      <w:pPr>
        <w:spacing w:line="480" w:lineRule="auto"/>
        <w:jc w:val="center"/>
        <w:rPr>
          <w:rFonts w:ascii="Times New Roman" w:hAnsi="Times New Roman" w:cs="Times New Roman"/>
          <w:shd w:val="clear" w:color="auto" w:fill="FFFFFF"/>
        </w:rPr>
      </w:pPr>
      <w:r w:rsidRPr="00340CF3">
        <w:rPr>
          <w:rFonts w:ascii="Times New Roman" w:hAnsi="Times New Roman" w:cs="Times New Roman"/>
          <w:u w:val="single"/>
          <w:shd w:val="clear" w:color="auto" w:fill="FFFFFF"/>
        </w:rPr>
        <w:t>Lawrence vs. Texas</w:t>
      </w:r>
      <w:r>
        <w:rPr>
          <w:rFonts w:ascii="Times New Roman" w:hAnsi="Times New Roman" w:cs="Times New Roman"/>
          <w:shd w:val="clear" w:color="auto" w:fill="FFFFFF"/>
        </w:rPr>
        <w:t>, 2003</w:t>
      </w:r>
    </w:p>
    <w:p w14:paraId="2E0B6ED8" w14:textId="462BD4E3" w:rsidR="00340CF3" w:rsidRDefault="00340CF3" w:rsidP="000C35A1">
      <w:pPr>
        <w:spacing w:line="480" w:lineRule="auto"/>
        <w:jc w:val="center"/>
        <w:rPr>
          <w:rFonts w:ascii="Times New Roman" w:hAnsi="Times New Roman" w:cs="Times New Roman"/>
        </w:rPr>
      </w:pPr>
    </w:p>
    <w:p w14:paraId="44917D5F" w14:textId="4EEFC24B" w:rsidR="00D57341" w:rsidRDefault="00D57341">
      <w:pPr>
        <w:rPr>
          <w:rFonts w:ascii="Times New Roman" w:hAnsi="Times New Roman" w:cs="Times New Roman"/>
          <w:shd w:val="clear" w:color="auto" w:fill="FFFFFF"/>
        </w:rPr>
      </w:pPr>
    </w:p>
    <w:p w14:paraId="799D09AD" w14:textId="77777777" w:rsidR="00D57341" w:rsidRDefault="00D57341" w:rsidP="00BA56FD">
      <w:pPr>
        <w:spacing w:line="480" w:lineRule="auto"/>
        <w:jc w:val="center"/>
        <w:rPr>
          <w:rFonts w:ascii="Times New Roman" w:hAnsi="Times New Roman" w:cs="Times New Roman"/>
          <w:shd w:val="clear" w:color="auto" w:fill="FFFFFF"/>
        </w:rPr>
      </w:pPr>
    </w:p>
    <w:p w14:paraId="63602250" w14:textId="77777777" w:rsidR="00D57341" w:rsidRDefault="00D57341">
      <w:pPr>
        <w:rPr>
          <w:rFonts w:ascii="Times New Roman" w:hAnsi="Times New Roman" w:cs="Times New Roman"/>
          <w:shd w:val="clear" w:color="auto" w:fill="FFFFFF"/>
        </w:rPr>
      </w:pPr>
      <w:r>
        <w:rPr>
          <w:rFonts w:ascii="Times New Roman" w:hAnsi="Times New Roman" w:cs="Times New Roman"/>
          <w:shd w:val="clear" w:color="auto" w:fill="FFFFFF"/>
        </w:rPr>
        <w:br w:type="page"/>
      </w:r>
    </w:p>
    <w:p w14:paraId="7D5A955A" w14:textId="18893919" w:rsidR="00BA56FD" w:rsidRPr="00577EBC" w:rsidRDefault="00BA56FD" w:rsidP="00BA56FD">
      <w:pPr>
        <w:spacing w:line="480" w:lineRule="auto"/>
        <w:jc w:val="center"/>
        <w:rPr>
          <w:rFonts w:ascii="Times New Roman" w:hAnsi="Times New Roman" w:cs="Times New Roman"/>
          <w:shd w:val="clear" w:color="auto" w:fill="FFFFFF"/>
        </w:rPr>
      </w:pPr>
      <w:r w:rsidRPr="00577EBC">
        <w:rPr>
          <w:rFonts w:ascii="Times New Roman" w:hAnsi="Times New Roman" w:cs="Times New Roman"/>
          <w:shd w:val="clear" w:color="auto" w:fill="FFFFFF"/>
        </w:rPr>
        <w:lastRenderedPageBreak/>
        <w:t>Lawrence vs. Texas</w:t>
      </w:r>
    </w:p>
    <w:p w14:paraId="172093B6" w14:textId="77777777" w:rsidR="00BA56FD" w:rsidRPr="00577EBC" w:rsidRDefault="00BA56FD" w:rsidP="00BA56F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summary of the Case</w:t>
      </w:r>
    </w:p>
    <w:p w14:paraId="57CF63E3" w14:textId="77777777" w:rsidR="00BA56FD" w:rsidRPr="00577EBC" w:rsidRDefault="00BA56FD" w:rsidP="00BA56F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A Houston based police intruded into John Lawrence's privately owned apartment following a reported gun disturbance case. After entering, he noticed that Lawrence, together with his male counterpart, Tyron Garner was engaging in private, yet adult sexual activity (</w:t>
      </w:r>
      <w:r w:rsidRPr="00577EBC">
        <w:rPr>
          <w:rFonts w:ascii="Times New Roman" w:hAnsi="Times New Roman" w:cs="Times New Roman"/>
          <w:bCs/>
        </w:rPr>
        <w:t>Kanovitz 4)</w:t>
      </w:r>
      <w:r w:rsidRPr="00577EBC">
        <w:rPr>
          <w:rFonts w:ascii="Times New Roman" w:hAnsi="Times New Roman" w:cs="Times New Roman"/>
          <w:shd w:val="clear" w:color="auto" w:fill="FFFFFF"/>
        </w:rPr>
        <w:t>. Garner and Lawrence were arrested and charged with engaging in deviant sexual intercourse due to violation of the Texas legislature. The statute forbids two individuals of the same gender to participate in a specific sexual act (</w:t>
      </w:r>
      <w:r w:rsidRPr="00577EBC">
        <w:rPr>
          <w:rFonts w:ascii="Times New Roman" w:hAnsi="Times New Roman" w:cs="Times New Roman"/>
          <w:bCs/>
        </w:rPr>
        <w:t>Kanovitz 4)</w:t>
      </w:r>
      <w:r w:rsidRPr="00577EBC">
        <w:rPr>
          <w:rFonts w:ascii="Times New Roman" w:hAnsi="Times New Roman" w:cs="Times New Roman"/>
          <w:shd w:val="clear" w:color="auto" w:fill="FFFFFF"/>
        </w:rPr>
        <w:t>. The Court of Appeal ruled out that the rule was constitutional based on the Due Process Clause of the 14</w:t>
      </w:r>
      <w:r w:rsidRPr="00577EBC">
        <w:rPr>
          <w:rFonts w:ascii="Times New Roman" w:hAnsi="Times New Roman" w:cs="Times New Roman"/>
          <w:shd w:val="clear" w:color="auto" w:fill="FFFFFF"/>
          <w:vertAlign w:val="superscript"/>
        </w:rPr>
        <w:t>th</w:t>
      </w:r>
      <w:r w:rsidRPr="00577EBC">
        <w:rPr>
          <w:rFonts w:ascii="Times New Roman" w:hAnsi="Times New Roman" w:cs="Times New Roman"/>
          <w:shd w:val="clear" w:color="auto" w:fill="FFFFFF"/>
        </w:rPr>
        <w:t xml:space="preserve"> amendment under control of </w:t>
      </w:r>
      <w:hyperlink r:id="rId6" w:history="1">
        <w:r w:rsidRPr="00577EBC">
          <w:rPr>
            <w:rStyle w:val="Hyperlink"/>
            <w:rFonts w:ascii="Times New Roman" w:hAnsi="Times New Roman" w:cs="Times New Roman"/>
            <w:color w:val="auto"/>
            <w:u w:val="none"/>
          </w:rPr>
          <w:t>Bowers v. Hardwick (1986)</w:t>
        </w:r>
      </w:hyperlink>
      <w:r w:rsidRPr="00577EBC">
        <w:rPr>
          <w:rFonts w:ascii="Times New Roman" w:hAnsi="Times New Roman" w:cs="Times New Roman"/>
        </w:rPr>
        <w:t>.</w:t>
      </w:r>
    </w:p>
    <w:p w14:paraId="4A37F333" w14:textId="77777777" w:rsidR="00BA56FD" w:rsidRPr="00577EBC" w:rsidRDefault="00BA56FD" w:rsidP="00BA56F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brief statement of questions</w:t>
      </w:r>
    </w:p>
    <w:p w14:paraId="5F79CF68" w14:textId="77777777" w:rsidR="00BA56FD" w:rsidRPr="00577EBC" w:rsidRDefault="00BA56FD" w:rsidP="00BA56F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Did the conviction of Garner and Lawrence for adult sexual activity violate their primary right of privacy and liberty under Due Process Clause of the 14</w:t>
      </w:r>
      <w:r w:rsidRPr="00577EBC">
        <w:rPr>
          <w:rFonts w:ascii="Times New Roman" w:hAnsi="Times New Roman" w:cs="Times New Roman"/>
          <w:shd w:val="clear" w:color="auto" w:fill="FFFFFF"/>
          <w:vertAlign w:val="superscript"/>
        </w:rPr>
        <w:t>th</w:t>
      </w:r>
      <w:r w:rsidRPr="00577EBC">
        <w:rPr>
          <w:rFonts w:ascii="Times New Roman" w:hAnsi="Times New Roman" w:cs="Times New Roman"/>
          <w:shd w:val="clear" w:color="auto" w:fill="FFFFFF"/>
        </w:rPr>
        <w:t xml:space="preserve"> amendment? Do the criminal convictions of the two victims, under the Texas Sexual legislature, which criminalizes sex by couples of similar sex, infringe on the Fourteenth Amendment assurance of equal protection of laws? Can the decision which was made by </w:t>
      </w:r>
      <w:hyperlink r:id="rId7" w:history="1">
        <w:r w:rsidRPr="00577EBC">
          <w:rPr>
            <w:rStyle w:val="Hyperlink"/>
            <w:rFonts w:ascii="Times New Roman" w:hAnsi="Times New Roman" w:cs="Times New Roman"/>
            <w:color w:val="auto"/>
            <w:u w:val="none"/>
          </w:rPr>
          <w:t>Bowers v. Hardwick (1986)</w:t>
        </w:r>
      </w:hyperlink>
      <w:r w:rsidRPr="00577EBC">
        <w:rPr>
          <w:rFonts w:ascii="Times New Roman" w:hAnsi="Times New Roman" w:cs="Times New Roman"/>
        </w:rPr>
        <w:t xml:space="preserve"> be overruled?</w:t>
      </w:r>
    </w:p>
    <w:p w14:paraId="5F16A77D" w14:textId="77777777" w:rsidR="00BA56FD" w:rsidRPr="00577EBC" w:rsidRDefault="00BA56FD" w:rsidP="00BA56F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A brief statement of the ruling</w:t>
      </w:r>
    </w:p>
    <w:p w14:paraId="03245708" w14:textId="77777777" w:rsidR="00BA56FD" w:rsidRPr="00577EBC" w:rsidRDefault="00BA56FD" w:rsidP="00BA56F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Yes, no, and yes. According to the opinion given out by Justice Kennedy Antony, the Court's main interest in the case was to ascertain if Garner Lawrence were adults with the right to participate in whatever consensual adult sexual activity of their wish (</w:t>
      </w:r>
      <w:r w:rsidRPr="00577EBC">
        <w:rPr>
          <w:rFonts w:ascii="Times New Roman" w:hAnsi="Times New Roman" w:cs="Times New Roman"/>
          <w:bCs/>
        </w:rPr>
        <w:t>Kanovitz 14)</w:t>
      </w:r>
      <w:r w:rsidRPr="00577EBC">
        <w:rPr>
          <w:rFonts w:ascii="Times New Roman" w:hAnsi="Times New Roman" w:cs="Times New Roman"/>
          <w:shd w:val="clear" w:color="auto" w:fill="FFFFFF"/>
        </w:rPr>
        <w:t xml:space="preserve">. The Court ruled out that conviction of the two was a violation of liberty and privacy rights of the accused. It is an infringement of the Texas Homosexual legislature of the Fourteenth Amendment assurance </w:t>
      </w:r>
      <w:r w:rsidRPr="00577EBC">
        <w:rPr>
          <w:rFonts w:ascii="Times New Roman" w:hAnsi="Times New Roman" w:cs="Times New Roman"/>
          <w:shd w:val="clear" w:color="auto" w:fill="FFFFFF"/>
        </w:rPr>
        <w:lastRenderedPageBreak/>
        <w:t>on equal protection of laws to convict adult individuals who engage in consensual sexual intimacy act (</w:t>
      </w:r>
      <w:r w:rsidRPr="00577EBC">
        <w:rPr>
          <w:rFonts w:ascii="Times New Roman" w:hAnsi="Times New Roman" w:cs="Times New Roman"/>
          <w:bCs/>
        </w:rPr>
        <w:t>Kanovitz 20)</w:t>
      </w:r>
      <w:r w:rsidRPr="00577EBC">
        <w:rPr>
          <w:rFonts w:ascii="Times New Roman" w:hAnsi="Times New Roman" w:cs="Times New Roman"/>
          <w:shd w:val="clear" w:color="auto" w:fill="FFFFFF"/>
        </w:rPr>
        <w:t xml:space="preserve">. The Court overruled </w:t>
      </w:r>
      <w:hyperlink r:id="rId8" w:history="1">
        <w:r w:rsidRPr="00577EBC">
          <w:rPr>
            <w:rStyle w:val="Hyperlink"/>
            <w:rFonts w:ascii="Times New Roman" w:hAnsi="Times New Roman" w:cs="Times New Roman"/>
            <w:color w:val="auto"/>
            <w:u w:val="none"/>
          </w:rPr>
          <w:t xml:space="preserve"> Hardwick vs Bowers (1986)</w:t>
        </w:r>
      </w:hyperlink>
      <w:r w:rsidRPr="00577EBC">
        <w:rPr>
          <w:rFonts w:ascii="Times New Roman" w:hAnsi="Times New Roman" w:cs="Times New Roman"/>
        </w:rPr>
        <w:t xml:space="preserve"> control case. </w:t>
      </w:r>
    </w:p>
    <w:p w14:paraId="242B819C" w14:textId="77777777" w:rsidR="00BA56FD" w:rsidRPr="00577EBC" w:rsidRDefault="00BA56FD" w:rsidP="00BA56FD">
      <w:pPr>
        <w:spacing w:line="480" w:lineRule="auto"/>
        <w:jc w:val="center"/>
        <w:rPr>
          <w:rFonts w:ascii="Times New Roman" w:hAnsi="Times New Roman" w:cs="Times New Roman"/>
          <w:b/>
          <w:shd w:val="clear" w:color="auto" w:fill="FFFFFF"/>
        </w:rPr>
      </w:pPr>
      <w:r w:rsidRPr="00577EBC">
        <w:rPr>
          <w:rFonts w:ascii="Times New Roman" w:hAnsi="Times New Roman" w:cs="Times New Roman"/>
          <w:b/>
          <w:shd w:val="clear" w:color="auto" w:fill="FFFFFF"/>
        </w:rPr>
        <w:t>In-depth discussion</w:t>
      </w:r>
    </w:p>
    <w:p w14:paraId="3417FDE4" w14:textId="4E1697F8" w:rsidR="00BA56FD" w:rsidRPr="00577EBC" w:rsidRDefault="00BA56FD" w:rsidP="00BA56F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 xml:space="preserve">According to the Due Process Clause, it is the mandate of the Constitution to protect liberty, which grants homosexuals the right to enter or choose a relationship in the confines of their houses. </w:t>
      </w:r>
      <w:r w:rsidR="009F0ED7" w:rsidRPr="00577EBC">
        <w:rPr>
          <w:rFonts w:ascii="Times New Roman" w:eastAsia="Times New Roman" w:hAnsi="Times New Roman" w:cs="Times New Roman"/>
        </w:rPr>
        <w:t>Again,</w:t>
      </w:r>
      <w:r w:rsidRPr="00577EBC">
        <w:rPr>
          <w:rFonts w:ascii="Times New Roman" w:eastAsia="Times New Roman" w:hAnsi="Times New Roman" w:cs="Times New Roman"/>
        </w:rPr>
        <w:t xml:space="preserve"> the Clause protects the private lives of citizens in addition to allowing them to handle their dignity as free persons </w:t>
      </w:r>
      <w:r w:rsidRPr="00577EBC">
        <w:rPr>
          <w:rFonts w:ascii="Times New Roman" w:hAnsi="Times New Roman" w:cs="Times New Roman"/>
          <w:shd w:val="clear" w:color="auto" w:fill="FFFFFF"/>
        </w:rPr>
        <w:t>(</w:t>
      </w:r>
      <w:r w:rsidRPr="00577EBC">
        <w:rPr>
          <w:rFonts w:ascii="Times New Roman" w:hAnsi="Times New Roman" w:cs="Times New Roman"/>
          <w:color w:val="222222"/>
          <w:shd w:val="clear" w:color="auto" w:fill="FFFFFF"/>
        </w:rPr>
        <w:t>Straderand 465)</w:t>
      </w:r>
      <w:r w:rsidRPr="00577EBC">
        <w:rPr>
          <w:rFonts w:ascii="Times New Roman" w:eastAsia="Times New Roman" w:hAnsi="Times New Roman" w:cs="Times New Roman"/>
        </w:rPr>
        <w:t xml:space="preserve">. No prostitution, minors, parties should not be injured and should involve people offering consent. Also, a state is not allowed to discriminate against any group of persons. </w:t>
      </w:r>
    </w:p>
    <w:p w14:paraId="1773D17F" w14:textId="77777777" w:rsidR="00BA56FD" w:rsidRPr="00577EBC" w:rsidRDefault="00BA56FD" w:rsidP="00BA56F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 xml:space="preserve"> In </w:t>
      </w:r>
      <w:hyperlink r:id="rId9" w:history="1">
        <w:r w:rsidRPr="00577EBC">
          <w:rPr>
            <w:rStyle w:val="Hyperlink"/>
            <w:rFonts w:ascii="Times New Roman" w:hAnsi="Times New Roman" w:cs="Times New Roman"/>
            <w:color w:val="auto"/>
            <w:u w:val="none"/>
          </w:rPr>
          <w:t xml:space="preserve"> Hardwick</w:t>
        </w:r>
      </w:hyperlink>
      <w:r w:rsidRPr="00577EBC">
        <w:rPr>
          <w:rStyle w:val="Hyperlink"/>
          <w:rFonts w:ascii="Times New Roman" w:hAnsi="Times New Roman" w:cs="Times New Roman"/>
          <w:color w:val="auto"/>
          <w:u w:val="none"/>
        </w:rPr>
        <w:t xml:space="preserve"> vs</w:t>
      </w:r>
      <w:r w:rsidRPr="00577EBC">
        <w:rPr>
          <w:rFonts w:ascii="Times New Roman" w:hAnsi="Times New Roman" w:cs="Times New Roman"/>
        </w:rPr>
        <w:t xml:space="preserve"> Bowers </w:t>
      </w:r>
      <w:r w:rsidRPr="00577EBC">
        <w:rPr>
          <w:rFonts w:ascii="Times New Roman" w:eastAsia="Times New Roman" w:hAnsi="Times New Roman" w:cs="Times New Roman"/>
        </w:rPr>
        <w:t xml:space="preserve">(1986) case, the Court passed a statute in Georgia which criminalize private and sodomy practices in both homo and heterosexuals. Bowers mistakenly came up with a suggestion related to homosexual rights on sexual activities under the existing rules </w:t>
      </w:r>
      <w:r w:rsidRPr="00577EBC">
        <w:rPr>
          <w:rFonts w:ascii="Times New Roman" w:hAnsi="Times New Roman" w:cs="Times New Roman"/>
          <w:shd w:val="clear" w:color="auto" w:fill="FFFFFF"/>
        </w:rPr>
        <w:t>(</w:t>
      </w:r>
      <w:r w:rsidRPr="00577EBC">
        <w:rPr>
          <w:rFonts w:ascii="Times New Roman" w:hAnsi="Times New Roman" w:cs="Times New Roman"/>
          <w:color w:val="222222"/>
          <w:shd w:val="clear" w:color="auto" w:fill="FFFFFF"/>
        </w:rPr>
        <w:t>Bachhofer 257)</w:t>
      </w:r>
      <w:r w:rsidRPr="00577EBC">
        <w:rPr>
          <w:rFonts w:ascii="Times New Roman" w:eastAsia="Times New Roman" w:hAnsi="Times New Roman" w:cs="Times New Roman"/>
        </w:rPr>
        <w:t xml:space="preserve">. According to the Court’s decision, a ruling that does not promote the right would experience similar consequences during the determination of homosexual rights </w:t>
      </w:r>
      <w:r w:rsidRPr="00577EBC">
        <w:rPr>
          <w:rFonts w:ascii="Times New Roman" w:hAnsi="Times New Roman" w:cs="Times New Roman"/>
          <w:shd w:val="clear" w:color="auto" w:fill="FFFFFF"/>
        </w:rPr>
        <w:t>(</w:t>
      </w:r>
      <w:r w:rsidRPr="00577EBC">
        <w:rPr>
          <w:rFonts w:ascii="Times New Roman" w:hAnsi="Times New Roman" w:cs="Times New Roman"/>
          <w:bCs/>
        </w:rPr>
        <w:t>Kanovitz 15)</w:t>
      </w:r>
      <w:r w:rsidRPr="00577EBC">
        <w:rPr>
          <w:rFonts w:ascii="Times New Roman" w:eastAsia="Times New Roman" w:hAnsi="Times New Roman" w:cs="Times New Roman"/>
        </w:rPr>
        <w:t>. The verdict would infringe on the paramount right of homosexuals to engage in personal, intimate and sexual relationships.</w:t>
      </w:r>
    </w:p>
    <w:p w14:paraId="5138BB6B" w14:textId="121BC4EF" w:rsidR="00BA56FD" w:rsidRPr="00577EBC" w:rsidRDefault="00BA56FD" w:rsidP="00BA56F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 xml:space="preserve">The above analysis should have guided </w:t>
      </w:r>
      <w:r w:rsidR="009F0ED7" w:rsidRPr="00577EBC">
        <w:rPr>
          <w:rFonts w:ascii="Times New Roman" w:eastAsia="Times New Roman" w:hAnsi="Times New Roman" w:cs="Times New Roman"/>
        </w:rPr>
        <w:t>Bowers and</w:t>
      </w:r>
      <w:r w:rsidRPr="00577EBC">
        <w:rPr>
          <w:rFonts w:ascii="Times New Roman" w:eastAsia="Times New Roman" w:hAnsi="Times New Roman" w:cs="Times New Roman"/>
        </w:rPr>
        <w:t xml:space="preserve"> have a control on similar cases today. Bowers was wrong on his ruling, and the case cannot workout today; hence the reason why it was overruled </w:t>
      </w:r>
      <w:r w:rsidRPr="00577EBC">
        <w:rPr>
          <w:rFonts w:ascii="Times New Roman" w:hAnsi="Times New Roman" w:cs="Times New Roman"/>
          <w:shd w:val="clear" w:color="auto" w:fill="FFFFFF"/>
        </w:rPr>
        <w:t>(</w:t>
      </w:r>
      <w:r w:rsidRPr="00577EBC">
        <w:rPr>
          <w:rFonts w:ascii="Times New Roman" w:hAnsi="Times New Roman" w:cs="Times New Roman"/>
          <w:color w:val="222222"/>
          <w:shd w:val="clear" w:color="auto" w:fill="FFFFFF"/>
        </w:rPr>
        <w:t>Straderand 465)</w:t>
      </w:r>
      <w:r w:rsidRPr="00577EBC">
        <w:rPr>
          <w:rFonts w:ascii="Times New Roman" w:eastAsia="Times New Roman" w:hAnsi="Times New Roman" w:cs="Times New Roman"/>
        </w:rPr>
        <w:t>. The rule excludes only the minor, those who might be injured, coerced, those without consent and prostitutes. The rule case should include adult persons with mutual and full consent who engage in sexual activities which are a common homosexual way of life. The right to liberty petition under the Due Process Clause accords homosexual the full mandate to take part in private sexual conduct devoid of State's restriction</w:t>
      </w:r>
      <w:r w:rsidRPr="00577EBC">
        <w:rPr>
          <w:rFonts w:ascii="Times New Roman" w:hAnsi="Times New Roman" w:cs="Times New Roman"/>
        </w:rPr>
        <w:t xml:space="preserve"> (Fox News 1)</w:t>
      </w:r>
      <w:r w:rsidRPr="00577EBC">
        <w:rPr>
          <w:rFonts w:ascii="Times New Roman" w:eastAsia="Times New Roman" w:hAnsi="Times New Roman" w:cs="Times New Roman"/>
        </w:rPr>
        <w:t xml:space="preserve">. The </w:t>
      </w:r>
      <w:r w:rsidRPr="00577EBC">
        <w:rPr>
          <w:rFonts w:ascii="Times New Roman" w:eastAsia="Times New Roman" w:hAnsi="Times New Roman" w:cs="Times New Roman"/>
        </w:rPr>
        <w:lastRenderedPageBreak/>
        <w:t>Texas statute dictates that legitimate State have no interest to justify its intrusion into someone’s private and personal life</w:t>
      </w:r>
      <w:r w:rsidRPr="00577EBC">
        <w:rPr>
          <w:rFonts w:ascii="Times New Roman" w:hAnsi="Times New Roman" w:cs="Times New Roman"/>
          <w:shd w:val="clear" w:color="auto" w:fill="FFFFFF"/>
        </w:rPr>
        <w:t xml:space="preserve"> (</w:t>
      </w:r>
      <w:r w:rsidRPr="00577EBC">
        <w:rPr>
          <w:rFonts w:ascii="Times New Roman" w:hAnsi="Times New Roman" w:cs="Times New Roman"/>
          <w:bCs/>
        </w:rPr>
        <w:t>Kanovitz 7)</w:t>
      </w:r>
      <w:r w:rsidRPr="00577EBC">
        <w:rPr>
          <w:rFonts w:ascii="Times New Roman" w:eastAsia="Times New Roman" w:hAnsi="Times New Roman" w:cs="Times New Roman"/>
        </w:rPr>
        <w:t>.</w:t>
      </w:r>
    </w:p>
    <w:p w14:paraId="087AE040" w14:textId="77777777" w:rsidR="00BA56FD" w:rsidRPr="00577EBC" w:rsidRDefault="00BA56FD" w:rsidP="00BA56FD">
      <w:pPr>
        <w:spacing w:line="480" w:lineRule="auto"/>
        <w:ind w:firstLine="720"/>
        <w:rPr>
          <w:rFonts w:ascii="Times New Roman" w:hAnsi="Times New Roman" w:cs="Times New Roman"/>
          <w:shd w:val="clear" w:color="auto" w:fill="FFFFFF"/>
        </w:rPr>
      </w:pPr>
      <w:r w:rsidRPr="00577EBC">
        <w:rPr>
          <w:rFonts w:ascii="Times New Roman" w:hAnsi="Times New Roman" w:cs="Times New Roman"/>
          <w:shd w:val="clear" w:color="auto" w:fill="FFFFFF"/>
        </w:rPr>
        <w:t xml:space="preserve">Lawrence vs. Texas case attracted several controversies from both lawyers and the public.  </w:t>
      </w:r>
      <w:r w:rsidRPr="00577EBC">
        <w:rPr>
          <w:rFonts w:ascii="Times New Roman" w:eastAsia="Times New Roman" w:hAnsi="Times New Roman" w:cs="Times New Roman"/>
        </w:rPr>
        <w:t>Some were with ideas that invalidation of the Texas statute by the Court and Bowers case was inappropriate. Strictly, the law prohibits homosexual relationship and could not be held unconstitutional since it does not violate the Equal Protection of laws</w:t>
      </w:r>
      <w:r w:rsidRPr="00577EBC">
        <w:rPr>
          <w:rFonts w:ascii="Times New Roman" w:hAnsi="Times New Roman" w:cs="Times New Roman"/>
          <w:shd w:val="clear" w:color="auto" w:fill="FFFFFF"/>
        </w:rPr>
        <w:t xml:space="preserve"> (</w:t>
      </w:r>
      <w:r w:rsidRPr="00577EBC">
        <w:rPr>
          <w:rFonts w:ascii="Times New Roman" w:hAnsi="Times New Roman" w:cs="Times New Roman"/>
          <w:color w:val="222222"/>
          <w:shd w:val="clear" w:color="auto" w:fill="FFFFFF"/>
        </w:rPr>
        <w:t>Bachhofer 257)</w:t>
      </w:r>
      <w:r w:rsidRPr="00577EBC">
        <w:rPr>
          <w:rFonts w:ascii="Times New Roman" w:eastAsia="Times New Roman" w:hAnsi="Times New Roman" w:cs="Times New Roman"/>
        </w:rPr>
        <w:t xml:space="preserve">.  There was also a narrative suggesting that Taxas’ primary goal is a "desire to harm an inactive political population. As such" Bowers decision should be upheld as much as the principals of </w:t>
      </w:r>
      <w:hyperlink r:id="rId10" w:history="1">
        <w:r w:rsidRPr="00577EBC">
          <w:rPr>
            <w:rStyle w:val="Hyperlink"/>
            <w:rFonts w:ascii="Times New Roman" w:hAnsi="Times New Roman" w:cs="Times New Roman"/>
            <w:color w:val="auto"/>
            <w:u w:val="none"/>
          </w:rPr>
          <w:t>stare decisis</w:t>
        </w:r>
      </w:hyperlink>
      <w:r w:rsidRPr="00577EBC">
        <w:rPr>
          <w:rStyle w:val="Hyperlink"/>
          <w:rFonts w:ascii="Times New Roman" w:hAnsi="Times New Roman" w:cs="Times New Roman"/>
          <w:color w:val="auto"/>
          <w:u w:val="none"/>
        </w:rPr>
        <w:t xml:space="preserve"> are concerned since Lawrence seem to have political connections</w:t>
      </w:r>
      <w:r w:rsidRPr="00577EBC">
        <w:rPr>
          <w:rFonts w:ascii="Times New Roman" w:eastAsia="Times New Roman" w:hAnsi="Times New Roman" w:cs="Times New Roman"/>
        </w:rPr>
        <w:t xml:space="preserve">. Besides, others saw it impossible for the Court to </w:t>
      </w:r>
      <w:r w:rsidRPr="00577EBC">
        <w:rPr>
          <w:rFonts w:ascii="Times New Roman" w:hAnsi="Times New Roman" w:cs="Times New Roman"/>
        </w:rPr>
        <w:t>consider</w:t>
      </w:r>
      <w:r>
        <w:rPr>
          <w:rFonts w:ascii="Times New Roman" w:hAnsi="Times New Roman" w:cs="Times New Roman"/>
        </w:rPr>
        <w:t xml:space="preserve"> </w:t>
      </w:r>
      <w:r w:rsidRPr="00577EBC">
        <w:rPr>
          <w:rFonts w:ascii="Times New Roman" w:eastAsia="Times New Roman" w:hAnsi="Times New Roman" w:cs="Times New Roman"/>
        </w:rPr>
        <w:t xml:space="preserve">foreign laws or public opinion while making such a ruling </w:t>
      </w:r>
      <w:r w:rsidRPr="00577EBC">
        <w:rPr>
          <w:rFonts w:ascii="Times New Roman" w:hAnsi="Times New Roman" w:cs="Times New Roman"/>
        </w:rPr>
        <w:t>(Fox News 3)</w:t>
      </w:r>
      <w:r w:rsidRPr="00577EBC">
        <w:rPr>
          <w:rFonts w:ascii="Times New Roman" w:eastAsia="Times New Roman" w:hAnsi="Times New Roman" w:cs="Times New Roman"/>
        </w:rPr>
        <w:t xml:space="preserve">. Although the state statute stands to be repealed and not all case brings such controversies," there is no provision in the </w:t>
      </w:r>
      <w:hyperlink r:id="rId11" w:history="1">
        <w:r w:rsidRPr="00577EBC">
          <w:rPr>
            <w:rStyle w:val="Hyperlink"/>
            <w:rFonts w:ascii="Times New Roman" w:hAnsi="Times New Roman" w:cs="Times New Roman"/>
            <w:color w:val="auto"/>
            <w:u w:val="none"/>
          </w:rPr>
          <w:t>Bill of Rights</w:t>
        </w:r>
      </w:hyperlink>
      <w:r w:rsidRPr="00577EBC">
        <w:rPr>
          <w:rStyle w:val="Hyperlink"/>
          <w:rFonts w:ascii="Times New Roman" w:hAnsi="Times New Roman" w:cs="Times New Roman"/>
          <w:color w:val="auto"/>
          <w:u w:val="none"/>
        </w:rPr>
        <w:t xml:space="preserve"> or </w:t>
      </w:r>
      <w:r w:rsidRPr="00577EBC">
        <w:rPr>
          <w:rFonts w:ascii="Times New Roman" w:eastAsia="Times New Roman" w:hAnsi="Times New Roman" w:cs="Times New Roman"/>
        </w:rPr>
        <w:t>Constitution that bars the State from passing the law under discussion.</w:t>
      </w:r>
    </w:p>
    <w:p w14:paraId="6CF9ABB3" w14:textId="25637608" w:rsidR="00BA56FD" w:rsidRPr="00577EBC" w:rsidRDefault="00BA56FD" w:rsidP="00BA56FD">
      <w:pPr>
        <w:shd w:val="clear" w:color="auto" w:fill="FFFFFF"/>
        <w:spacing w:line="480" w:lineRule="auto"/>
        <w:ind w:firstLine="720"/>
        <w:rPr>
          <w:rFonts w:ascii="Times New Roman" w:eastAsia="Times New Roman" w:hAnsi="Times New Roman" w:cs="Times New Roman"/>
        </w:rPr>
      </w:pPr>
      <w:r w:rsidRPr="00577EBC">
        <w:rPr>
          <w:rFonts w:ascii="Times New Roman" w:eastAsia="Times New Roman" w:hAnsi="Times New Roman" w:cs="Times New Roman"/>
        </w:rPr>
        <w:t xml:space="preserve">The Supreme Court ruled out that the Homosexual Conduct Law was enacted beyond the provisions of Constitution and as such, the conviction of Garner and Lawrence was reversed. </w:t>
      </w:r>
      <w:r w:rsidRPr="00577EBC">
        <w:rPr>
          <w:rFonts w:ascii="Times New Roman" w:hAnsi="Times New Roman" w:cs="Times New Roman"/>
        </w:rPr>
        <w:t>The Supreme Court wrapped up that Texas' homosexual law infringes on the Due Process Clause of the Fourteenth Amendment. It acted beyond the previous decision on Bowers v. Hardwick, which passed anti-sodomy legislation</w:t>
      </w:r>
      <w:r w:rsidRPr="00577EBC">
        <w:rPr>
          <w:rFonts w:ascii="Times New Roman" w:hAnsi="Times New Roman" w:cs="Times New Roman"/>
          <w:shd w:val="clear" w:color="auto" w:fill="FFFFFF"/>
        </w:rPr>
        <w:t xml:space="preserve"> (</w:t>
      </w:r>
      <w:r w:rsidRPr="00577EBC">
        <w:rPr>
          <w:rFonts w:ascii="Times New Roman" w:hAnsi="Times New Roman" w:cs="Times New Roman"/>
          <w:color w:val="222222"/>
          <w:shd w:val="clear" w:color="auto" w:fill="FFFFFF"/>
        </w:rPr>
        <w:t>Bachhofer 257)</w:t>
      </w:r>
      <w:r w:rsidRPr="00577EBC">
        <w:rPr>
          <w:rFonts w:ascii="Times New Roman" w:hAnsi="Times New Roman" w:cs="Times New Roman"/>
        </w:rPr>
        <w:t>.</w:t>
      </w:r>
      <w:r w:rsidRPr="00577EBC">
        <w:rPr>
          <w:rFonts w:ascii="Times New Roman" w:eastAsia="Times New Roman" w:hAnsi="Times New Roman" w:cs="Times New Roman"/>
        </w:rPr>
        <w:t xml:space="preserve"> Among the six judges, five of them</w:t>
      </w:r>
      <w:r w:rsidRPr="00577EBC">
        <w:rPr>
          <w:rFonts w:ascii="Times New Roman" w:hAnsi="Times New Roman" w:cs="Times New Roman"/>
        </w:rPr>
        <w:t xml:space="preserve"> held that it violated due process guarantees, and one, Sandra Day O'Connor, concluded that it violated guarantees on equal protection (Fox News 1).</w:t>
      </w:r>
      <w:r w:rsidRPr="00577EBC">
        <w:rPr>
          <w:rFonts w:ascii="Times New Roman" w:eastAsia="Times New Roman" w:hAnsi="Times New Roman" w:cs="Times New Roman"/>
        </w:rPr>
        <w:t xml:space="preserve"> The State cannot have full control of a homosexual person's destiny by criminating someone’s private sexual conduct to avoid degradation of their personal existence </w:t>
      </w:r>
      <w:r w:rsidRPr="00577EBC">
        <w:rPr>
          <w:rFonts w:ascii="Times New Roman" w:hAnsi="Times New Roman" w:cs="Times New Roman"/>
          <w:shd w:val="clear" w:color="auto" w:fill="FFFFFF"/>
        </w:rPr>
        <w:t>(</w:t>
      </w:r>
      <w:r w:rsidRPr="00577EBC">
        <w:rPr>
          <w:rFonts w:ascii="Times New Roman" w:hAnsi="Times New Roman" w:cs="Times New Roman"/>
          <w:color w:val="222222"/>
          <w:shd w:val="clear" w:color="auto" w:fill="FFFFFF"/>
        </w:rPr>
        <w:t>Straderand 465)</w:t>
      </w:r>
      <w:r w:rsidRPr="00577EBC">
        <w:rPr>
          <w:rFonts w:ascii="Times New Roman" w:eastAsia="Times New Roman" w:hAnsi="Times New Roman" w:cs="Times New Roman"/>
        </w:rPr>
        <w:t xml:space="preserve">.  Homosexuals have a full mandate to take part in their conduct without governmental restrictions based on provisions of liberty rights in Due Process </w:t>
      </w:r>
      <w:r w:rsidRPr="00577EBC">
        <w:rPr>
          <w:rFonts w:ascii="Times New Roman" w:eastAsia="Times New Roman" w:hAnsi="Times New Roman" w:cs="Times New Roman"/>
        </w:rPr>
        <w:lastRenderedPageBreak/>
        <w:t xml:space="preserve">Clause. The Constitution provides a promise that </w:t>
      </w:r>
      <w:r w:rsidR="009F0ED7" w:rsidRPr="00577EBC">
        <w:rPr>
          <w:rFonts w:ascii="Times New Roman" w:eastAsia="Times New Roman" w:hAnsi="Times New Roman" w:cs="Times New Roman"/>
        </w:rPr>
        <w:t>their</w:t>
      </w:r>
      <w:r w:rsidRPr="00577EBC">
        <w:rPr>
          <w:rFonts w:ascii="Times New Roman" w:eastAsia="Times New Roman" w:hAnsi="Times New Roman" w:cs="Times New Roman"/>
        </w:rPr>
        <w:t xml:space="preserve"> principality of personal freedom to bar the government's restrictions.</w:t>
      </w:r>
    </w:p>
    <w:p w14:paraId="413CD190" w14:textId="77777777" w:rsidR="00BA56FD" w:rsidRPr="00577EBC" w:rsidRDefault="00BA56FD" w:rsidP="00BA56FD">
      <w:pPr>
        <w:shd w:val="clear" w:color="auto" w:fill="FFFFFF"/>
        <w:spacing w:line="480" w:lineRule="auto"/>
        <w:ind w:firstLine="720"/>
        <w:rPr>
          <w:rFonts w:ascii="Times New Roman" w:hAnsi="Times New Roman" w:cs="Times New Roman"/>
          <w:shd w:val="clear" w:color="auto" w:fill="FFFFFF"/>
        </w:rPr>
      </w:pPr>
      <w:r>
        <w:rPr>
          <w:rFonts w:ascii="Times New Roman" w:hAnsi="Times New Roman" w:cs="Times New Roman"/>
          <w:shd w:val="clear" w:color="auto" w:fill="FFFFFF"/>
        </w:rPr>
        <w:t>Lawrence vs. Texas’</w:t>
      </w:r>
      <w:r w:rsidRPr="00577EBC">
        <w:rPr>
          <w:rFonts w:ascii="Times New Roman" w:hAnsi="Times New Roman" w:cs="Times New Roman"/>
          <w:shd w:val="clear" w:color="auto" w:fill="FFFFFF"/>
        </w:rPr>
        <w:t xml:space="preserve"> case received mixed reactions from various personalities, including politically active individuals. Ari Fleischer, who was press secretary for President Bush, did not comment on the decision, noting that the administration failed to file a brief on the case (</w:t>
      </w:r>
      <w:r w:rsidRPr="00577EBC">
        <w:rPr>
          <w:rFonts w:ascii="Times New Roman" w:hAnsi="Times New Roman" w:cs="Times New Roman"/>
          <w:color w:val="222222"/>
          <w:shd w:val="clear" w:color="auto" w:fill="FFFFFF"/>
        </w:rPr>
        <w:t>Straderand 465)</w:t>
      </w:r>
      <w:r w:rsidRPr="00577EBC">
        <w:rPr>
          <w:rFonts w:ascii="Times New Roman" w:hAnsi="Times New Roman" w:cs="Times New Roman"/>
          <w:shd w:val="clear" w:color="auto" w:fill="FFFFFF"/>
        </w:rPr>
        <w:t>. The Bush himself was ultimately against the reverse of Texas Sodomy provision viewing it as a form of symbolic gesture towards traditional values (</w:t>
      </w:r>
      <w:r w:rsidRPr="00577EBC">
        <w:rPr>
          <w:rFonts w:ascii="Times New Roman" w:hAnsi="Times New Roman" w:cs="Times New Roman"/>
          <w:color w:val="222222"/>
          <w:shd w:val="clear" w:color="auto" w:fill="FFFFFF"/>
        </w:rPr>
        <w:t>Straderand 465)</w:t>
      </w:r>
      <w:r w:rsidRPr="00577EBC">
        <w:rPr>
          <w:rFonts w:ascii="Times New Roman" w:hAnsi="Times New Roman" w:cs="Times New Roman"/>
          <w:shd w:val="clear" w:color="auto" w:fill="FFFFFF"/>
        </w:rPr>
        <w:t>. On her part, Linda Greenhouse, who is a writer of The New York Times, suggests that the sodomy issue was a significant concern in all American States, and it was an excellent move for it to be decriminalized.</w:t>
      </w:r>
    </w:p>
    <w:p w14:paraId="55404B91" w14:textId="77777777" w:rsidR="00BA56FD" w:rsidRPr="00577EBC" w:rsidRDefault="00BA56FD" w:rsidP="00BA56FD">
      <w:pPr>
        <w:shd w:val="clear" w:color="auto" w:fill="FFFFFF"/>
        <w:spacing w:line="480" w:lineRule="auto"/>
        <w:ind w:firstLine="720"/>
        <w:jc w:val="center"/>
        <w:rPr>
          <w:rFonts w:ascii="Times New Roman" w:eastAsia="Times New Roman" w:hAnsi="Times New Roman" w:cs="Times New Roman"/>
          <w:b/>
        </w:rPr>
      </w:pPr>
      <w:r w:rsidRPr="00577EBC">
        <w:rPr>
          <w:rFonts w:ascii="Times New Roman" w:hAnsi="Times New Roman" w:cs="Times New Roman"/>
          <w:b/>
          <w:shd w:val="clear" w:color="auto" w:fill="FFFFFF"/>
        </w:rPr>
        <w:t>Conclusion</w:t>
      </w:r>
    </w:p>
    <w:p w14:paraId="1E9FD3BE" w14:textId="0DD06824" w:rsidR="00BA56FD" w:rsidRPr="00577EBC" w:rsidRDefault="00BA56FD" w:rsidP="00BA56FD">
      <w:pPr>
        <w:shd w:val="clear" w:color="auto" w:fill="FFFFFF"/>
        <w:spacing w:line="480" w:lineRule="auto"/>
        <w:ind w:firstLine="720"/>
        <w:rPr>
          <w:rFonts w:ascii="Times New Roman" w:eastAsia="Times New Roman" w:hAnsi="Times New Roman" w:cs="Times New Roman"/>
          <w:bCs/>
        </w:rPr>
      </w:pPr>
      <w:r w:rsidRPr="00577EBC">
        <w:rPr>
          <w:rFonts w:ascii="Times New Roman" w:eastAsia="Times New Roman" w:hAnsi="Times New Roman" w:cs="Times New Roman"/>
          <w:bCs/>
        </w:rPr>
        <w:t xml:space="preserve">Based on the above discussion, it is evident that the Court's ruling towards the conviction of </w:t>
      </w:r>
      <w:r w:rsidRPr="00577EBC">
        <w:rPr>
          <w:rFonts w:ascii="Times New Roman" w:hAnsi="Times New Roman" w:cs="Times New Roman"/>
          <w:shd w:val="clear" w:color="auto" w:fill="FFFFFF"/>
        </w:rPr>
        <w:t>Lawrence and Garner was a violation of liberty and privacy rights of the accused.</w:t>
      </w:r>
      <w:r w:rsidRPr="00577EBC">
        <w:rPr>
          <w:rFonts w:ascii="Times New Roman" w:eastAsia="Times New Roman" w:hAnsi="Times New Roman" w:cs="Times New Roman"/>
          <w:bCs/>
        </w:rPr>
        <w:t xml:space="preserve"> </w:t>
      </w:r>
      <w:r w:rsidR="009F0ED7" w:rsidRPr="00577EBC">
        <w:rPr>
          <w:rFonts w:ascii="Times New Roman" w:eastAsia="Times New Roman" w:hAnsi="Times New Roman" w:cs="Times New Roman"/>
          <w:bCs/>
        </w:rPr>
        <w:t>Again,</w:t>
      </w:r>
      <w:r w:rsidRPr="00577EBC">
        <w:rPr>
          <w:rFonts w:ascii="Times New Roman" w:eastAsia="Times New Roman" w:hAnsi="Times New Roman" w:cs="Times New Roman"/>
          <w:bCs/>
        </w:rPr>
        <w:t xml:space="preserve"> it was </w:t>
      </w:r>
      <w:r w:rsidRPr="00577EBC">
        <w:rPr>
          <w:rFonts w:ascii="Times New Roman" w:hAnsi="Times New Roman" w:cs="Times New Roman"/>
          <w:shd w:val="clear" w:color="auto" w:fill="FFFFFF"/>
        </w:rPr>
        <w:t>a violation of the Texas Homosexual legislature of the Fourteenth Amendment by assuring law protection bias to convict adult individuals who engage in consensual sexual intimacy act (</w:t>
      </w:r>
      <w:r w:rsidRPr="00577EBC">
        <w:rPr>
          <w:rFonts w:ascii="Times New Roman" w:hAnsi="Times New Roman" w:cs="Times New Roman"/>
          <w:color w:val="222222"/>
          <w:shd w:val="clear" w:color="auto" w:fill="FFFFFF"/>
        </w:rPr>
        <w:t>Bachhofer 257)</w:t>
      </w:r>
      <w:r w:rsidRPr="00577EBC">
        <w:rPr>
          <w:rFonts w:ascii="Times New Roman" w:hAnsi="Times New Roman" w:cs="Times New Roman"/>
          <w:shd w:val="clear" w:color="auto" w:fill="FFFFFF"/>
        </w:rPr>
        <w:t xml:space="preserve">. It was much necessary to overrule </w:t>
      </w:r>
      <w:hyperlink r:id="rId12" w:history="1">
        <w:r w:rsidRPr="00577EBC">
          <w:rPr>
            <w:rStyle w:val="Hyperlink"/>
            <w:rFonts w:ascii="Times New Roman" w:hAnsi="Times New Roman" w:cs="Times New Roman"/>
            <w:color w:val="auto"/>
            <w:u w:val="none"/>
          </w:rPr>
          <w:t>Bowers v. Hardwick, (1986)</w:t>
        </w:r>
      </w:hyperlink>
      <w:r w:rsidRPr="00577EBC">
        <w:rPr>
          <w:rFonts w:ascii="Times New Roman" w:hAnsi="Times New Roman" w:cs="Times New Roman"/>
        </w:rPr>
        <w:t xml:space="preserve"> reference case since it did not take into consideration the paramount right of individuals to take part in any adult consensual sexual act (Fox News 2). Overall, Lawrence's case can be described as a mark of transition to an error where the government respects the rights of adult individuals towards consensual sex.   </w:t>
      </w:r>
    </w:p>
    <w:p w14:paraId="3B29ABC2" w14:textId="77777777" w:rsidR="00BB1544" w:rsidRDefault="00BB1544" w:rsidP="00BA56FD">
      <w:pPr>
        <w:shd w:val="clear" w:color="auto" w:fill="FFFFFF"/>
        <w:spacing w:line="480" w:lineRule="auto"/>
        <w:jc w:val="center"/>
        <w:rPr>
          <w:rFonts w:ascii="Times New Roman" w:eastAsia="Times New Roman" w:hAnsi="Times New Roman" w:cs="Times New Roman"/>
        </w:rPr>
      </w:pPr>
    </w:p>
    <w:p w14:paraId="7B275890" w14:textId="77777777" w:rsidR="00BB1544" w:rsidRDefault="00BB1544" w:rsidP="00BA56FD">
      <w:pPr>
        <w:shd w:val="clear" w:color="auto" w:fill="FFFFFF"/>
        <w:spacing w:line="480" w:lineRule="auto"/>
        <w:jc w:val="center"/>
        <w:rPr>
          <w:rFonts w:ascii="Times New Roman" w:eastAsia="Times New Roman" w:hAnsi="Times New Roman" w:cs="Times New Roman"/>
        </w:rPr>
      </w:pPr>
    </w:p>
    <w:p w14:paraId="00226315" w14:textId="77777777" w:rsidR="00BB1544" w:rsidRDefault="00BB1544" w:rsidP="00BA56FD">
      <w:pPr>
        <w:shd w:val="clear" w:color="auto" w:fill="FFFFFF"/>
        <w:spacing w:line="480" w:lineRule="auto"/>
        <w:jc w:val="center"/>
        <w:rPr>
          <w:rFonts w:ascii="Times New Roman" w:eastAsia="Times New Roman" w:hAnsi="Times New Roman" w:cs="Times New Roman"/>
        </w:rPr>
      </w:pPr>
    </w:p>
    <w:p w14:paraId="748AE03C" w14:textId="2F7D974E" w:rsidR="00BA56FD" w:rsidRPr="00577EBC" w:rsidRDefault="00BA56FD" w:rsidP="00BA56FD">
      <w:pPr>
        <w:shd w:val="clear" w:color="auto" w:fill="FFFFFF"/>
        <w:spacing w:line="480" w:lineRule="auto"/>
        <w:jc w:val="center"/>
        <w:rPr>
          <w:rFonts w:ascii="Times New Roman" w:eastAsia="Times New Roman" w:hAnsi="Times New Roman" w:cs="Times New Roman"/>
        </w:rPr>
      </w:pPr>
      <w:r w:rsidRPr="00577EBC">
        <w:rPr>
          <w:rFonts w:ascii="Times New Roman" w:eastAsia="Times New Roman" w:hAnsi="Times New Roman" w:cs="Times New Roman"/>
        </w:rPr>
        <w:lastRenderedPageBreak/>
        <w:t>Work Cited</w:t>
      </w:r>
    </w:p>
    <w:p w14:paraId="0EC95131" w14:textId="77777777" w:rsidR="00BA56FD" w:rsidRPr="00577EBC" w:rsidRDefault="00BA56FD" w:rsidP="00BA56FD">
      <w:pPr>
        <w:pStyle w:val="Heading1"/>
        <w:shd w:val="clear" w:color="auto" w:fill="FFFFFF"/>
        <w:spacing w:before="0" w:beforeAutospacing="0" w:after="0" w:afterAutospacing="0" w:line="480" w:lineRule="auto"/>
        <w:textAlignment w:val="baseline"/>
        <w:rPr>
          <w:b w:val="0"/>
          <w:i/>
          <w:iCs/>
          <w:color w:val="222222"/>
          <w:sz w:val="24"/>
          <w:szCs w:val="24"/>
          <w:shd w:val="clear" w:color="auto" w:fill="FFFFFF"/>
        </w:rPr>
      </w:pPr>
      <w:r w:rsidRPr="00577EBC">
        <w:rPr>
          <w:b w:val="0"/>
          <w:color w:val="222222"/>
          <w:sz w:val="24"/>
          <w:szCs w:val="24"/>
          <w:shd w:val="clear" w:color="auto" w:fill="FFFFFF"/>
        </w:rPr>
        <w:t>Bachhofer, Aaron. "Lawrence v. Texas." </w:t>
      </w:r>
      <w:r w:rsidRPr="00577EBC">
        <w:rPr>
          <w:b w:val="0"/>
          <w:i/>
          <w:iCs/>
          <w:color w:val="222222"/>
          <w:sz w:val="24"/>
          <w:szCs w:val="24"/>
          <w:shd w:val="clear" w:color="auto" w:fill="FFFFFF"/>
        </w:rPr>
        <w:t xml:space="preserve">LGBTQ Americans in the U.S. Political System: An </w:t>
      </w:r>
    </w:p>
    <w:p w14:paraId="5C3C6DC9" w14:textId="77777777" w:rsidR="00BA56FD" w:rsidRPr="00577EBC" w:rsidRDefault="00BA56FD" w:rsidP="00BA56FD">
      <w:pPr>
        <w:pStyle w:val="Heading1"/>
        <w:shd w:val="clear" w:color="auto" w:fill="FFFFFF"/>
        <w:spacing w:before="0" w:beforeAutospacing="0" w:after="0" w:afterAutospacing="0" w:line="480" w:lineRule="auto"/>
        <w:ind w:left="720"/>
        <w:textAlignment w:val="baseline"/>
        <w:rPr>
          <w:b w:val="0"/>
          <w:color w:val="222222"/>
          <w:sz w:val="24"/>
          <w:szCs w:val="24"/>
          <w:shd w:val="clear" w:color="auto" w:fill="FFFFFF"/>
        </w:rPr>
      </w:pPr>
      <w:r w:rsidRPr="00577EBC">
        <w:rPr>
          <w:b w:val="0"/>
          <w:i/>
          <w:iCs/>
          <w:color w:val="222222"/>
          <w:sz w:val="24"/>
          <w:szCs w:val="24"/>
          <w:shd w:val="clear" w:color="auto" w:fill="FFFFFF"/>
        </w:rPr>
        <w:t>Encyclopedia of Activists, Voters, Candidates, and Officeholders [2 volumes]</w:t>
      </w:r>
      <w:r w:rsidRPr="00577EBC">
        <w:rPr>
          <w:b w:val="0"/>
          <w:color w:val="222222"/>
          <w:sz w:val="24"/>
          <w:szCs w:val="24"/>
          <w:shd w:val="clear" w:color="auto" w:fill="FFFFFF"/>
        </w:rPr>
        <w:t> (2019): 257.</w:t>
      </w:r>
    </w:p>
    <w:p w14:paraId="154C9F93" w14:textId="77777777" w:rsidR="00BA56FD" w:rsidRPr="00577EBC" w:rsidRDefault="00BA56FD" w:rsidP="00BA56FD">
      <w:pPr>
        <w:pStyle w:val="Heading1"/>
        <w:shd w:val="clear" w:color="auto" w:fill="FFFFFF"/>
        <w:spacing w:before="0" w:beforeAutospacing="0" w:after="0" w:afterAutospacing="0" w:line="480" w:lineRule="auto"/>
        <w:textAlignment w:val="baseline"/>
        <w:rPr>
          <w:b w:val="0"/>
          <w:color w:val="222222"/>
          <w:sz w:val="24"/>
          <w:szCs w:val="24"/>
          <w:shd w:val="clear" w:color="auto" w:fill="FFFFFF"/>
        </w:rPr>
      </w:pPr>
      <w:r w:rsidRPr="00577EBC">
        <w:rPr>
          <w:b w:val="0"/>
          <w:color w:val="222222"/>
          <w:sz w:val="24"/>
          <w:szCs w:val="24"/>
          <w:shd w:val="clear" w:color="auto" w:fill="FFFFFF"/>
        </w:rPr>
        <w:t xml:space="preserve">Fox News. “Supreme Courts Overturns Texas Gay Sex Ban”, (2003). Retrieved from </w:t>
      </w:r>
    </w:p>
    <w:p w14:paraId="37927EEE" w14:textId="77777777" w:rsidR="00BA56FD" w:rsidRPr="00577EBC" w:rsidRDefault="009579D5" w:rsidP="00BA56FD">
      <w:pPr>
        <w:pStyle w:val="Heading1"/>
        <w:shd w:val="clear" w:color="auto" w:fill="FFFFFF"/>
        <w:spacing w:before="0" w:beforeAutospacing="0" w:after="0" w:afterAutospacing="0" w:line="480" w:lineRule="auto"/>
        <w:ind w:firstLine="720"/>
        <w:textAlignment w:val="baseline"/>
        <w:rPr>
          <w:b w:val="0"/>
          <w:color w:val="222222"/>
          <w:spacing w:val="-18"/>
          <w:sz w:val="24"/>
          <w:szCs w:val="24"/>
        </w:rPr>
      </w:pPr>
      <w:hyperlink r:id="rId13" w:history="1">
        <w:r w:rsidR="00BA56FD" w:rsidRPr="00577EBC">
          <w:rPr>
            <w:rStyle w:val="Hyperlink"/>
            <w:b w:val="0"/>
            <w:sz w:val="24"/>
            <w:szCs w:val="24"/>
            <w:shd w:val="clear" w:color="auto" w:fill="FFFFFF"/>
          </w:rPr>
          <w:t>https://www.foxnews.com/story/supreme-court-overturns-texas-gay-sex-ban</w:t>
        </w:r>
      </w:hyperlink>
    </w:p>
    <w:p w14:paraId="0A1C309A" w14:textId="77777777" w:rsidR="00BA56FD" w:rsidRPr="00577EBC" w:rsidRDefault="00BA56FD" w:rsidP="00BA56FD">
      <w:pPr>
        <w:spacing w:line="480" w:lineRule="auto"/>
        <w:ind w:left="720" w:hanging="720"/>
        <w:rPr>
          <w:rFonts w:ascii="Times New Roman" w:hAnsi="Times New Roman" w:cs="Times New Roman"/>
          <w:bCs/>
        </w:rPr>
      </w:pPr>
      <w:r w:rsidRPr="00577EBC">
        <w:rPr>
          <w:rFonts w:ascii="Times New Roman" w:hAnsi="Times New Roman" w:cs="Times New Roman"/>
          <w:bCs/>
        </w:rPr>
        <w:t>Kanovitz, Jacqueline R., Constitutional Law for Criminal Justice, Chapter 2, pp. 3-42</w:t>
      </w:r>
    </w:p>
    <w:p w14:paraId="76814A00" w14:textId="77777777" w:rsidR="00BA56FD" w:rsidRPr="00577EBC" w:rsidRDefault="00BA56FD" w:rsidP="00BA56FD">
      <w:pPr>
        <w:shd w:val="clear" w:color="auto" w:fill="FFFFFF"/>
        <w:spacing w:line="480" w:lineRule="auto"/>
        <w:ind w:left="720" w:hanging="720"/>
        <w:rPr>
          <w:rFonts w:ascii="Times New Roman" w:eastAsia="Times New Roman" w:hAnsi="Times New Roman" w:cs="Times New Roman"/>
        </w:rPr>
      </w:pPr>
      <w:r w:rsidRPr="00577EBC">
        <w:rPr>
          <w:rFonts w:ascii="Times New Roman" w:hAnsi="Times New Roman" w:cs="Times New Roman"/>
          <w:color w:val="222222"/>
          <w:shd w:val="clear" w:color="auto" w:fill="FFFFFF"/>
        </w:rPr>
        <w:t>Strader, J. Kelly, and Lindsey Hay. "Lewd Stings: Extending Lawrence v. Texas to Discriminatory Enforcement." </w:t>
      </w:r>
      <w:r w:rsidRPr="00577EBC">
        <w:rPr>
          <w:rFonts w:ascii="Times New Roman" w:hAnsi="Times New Roman" w:cs="Times New Roman"/>
          <w:i/>
          <w:iCs/>
          <w:color w:val="222222"/>
          <w:shd w:val="clear" w:color="auto" w:fill="FFFFFF"/>
        </w:rPr>
        <w:t>Am. Crim. L. Rev.</w:t>
      </w:r>
      <w:r w:rsidRPr="00577EBC">
        <w:rPr>
          <w:rFonts w:ascii="Times New Roman" w:hAnsi="Times New Roman" w:cs="Times New Roman"/>
          <w:color w:val="222222"/>
          <w:shd w:val="clear" w:color="auto" w:fill="FFFFFF"/>
        </w:rPr>
        <w:t> 56 (2019): 465.</w:t>
      </w:r>
    </w:p>
    <w:p w14:paraId="5900DBD5" w14:textId="77777777" w:rsidR="00BA56FD" w:rsidRPr="00577EBC" w:rsidRDefault="00BA56FD" w:rsidP="00BA56FD">
      <w:pPr>
        <w:shd w:val="clear" w:color="auto" w:fill="FFFFFF"/>
        <w:spacing w:line="480" w:lineRule="auto"/>
        <w:ind w:firstLine="720"/>
        <w:rPr>
          <w:rFonts w:ascii="Times New Roman" w:eastAsia="Times New Roman" w:hAnsi="Times New Roman" w:cs="Times New Roman"/>
        </w:rPr>
      </w:pPr>
    </w:p>
    <w:p w14:paraId="10FE61B5" w14:textId="77777777" w:rsidR="00BA56FD" w:rsidRPr="00577EBC" w:rsidRDefault="00BA56FD" w:rsidP="00BA56FD">
      <w:pPr>
        <w:spacing w:line="480" w:lineRule="auto"/>
        <w:rPr>
          <w:rFonts w:ascii="Times New Roman" w:hAnsi="Times New Roman" w:cs="Times New Roman"/>
          <w:b/>
          <w:shd w:val="clear" w:color="auto" w:fill="FFFFFF"/>
        </w:rPr>
      </w:pPr>
    </w:p>
    <w:p w14:paraId="09F722BE" w14:textId="77777777" w:rsidR="00BA56FD" w:rsidRPr="00577EBC" w:rsidRDefault="00BA56FD" w:rsidP="00BA56FD">
      <w:pPr>
        <w:spacing w:line="480" w:lineRule="auto"/>
        <w:rPr>
          <w:rFonts w:ascii="Times New Roman" w:hAnsi="Times New Roman" w:cs="Times New Roman"/>
        </w:rPr>
      </w:pPr>
    </w:p>
    <w:p w14:paraId="7CDB2B74" w14:textId="77777777" w:rsidR="00442EB9" w:rsidRDefault="00442EB9"/>
    <w:sectPr w:rsidR="00442EB9" w:rsidSect="00DB5632">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FD262" w14:textId="77777777" w:rsidR="009579D5" w:rsidRDefault="009579D5" w:rsidP="00D57341">
      <w:r>
        <w:separator/>
      </w:r>
    </w:p>
  </w:endnote>
  <w:endnote w:type="continuationSeparator" w:id="0">
    <w:p w14:paraId="149E679D" w14:textId="77777777" w:rsidR="009579D5" w:rsidRDefault="009579D5" w:rsidP="00D5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F12FF" w14:textId="77777777" w:rsidR="009579D5" w:rsidRDefault="009579D5" w:rsidP="00D57341">
      <w:r>
        <w:separator/>
      </w:r>
    </w:p>
  </w:footnote>
  <w:footnote w:type="continuationSeparator" w:id="0">
    <w:p w14:paraId="2EB75EE0" w14:textId="77777777" w:rsidR="009579D5" w:rsidRDefault="009579D5" w:rsidP="00D573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55657724"/>
      <w:docPartObj>
        <w:docPartGallery w:val="Page Numbers (Top of Page)"/>
        <w:docPartUnique/>
      </w:docPartObj>
    </w:sdtPr>
    <w:sdtEndPr>
      <w:rPr>
        <w:noProof/>
      </w:rPr>
    </w:sdtEndPr>
    <w:sdtContent>
      <w:p w14:paraId="68FC7929" w14:textId="429F4C92" w:rsidR="00A84DD6" w:rsidRPr="00A84DD6" w:rsidRDefault="00B610BB" w:rsidP="00B56921">
        <w:pPr>
          <w:pStyle w:val="Header"/>
          <w:jc w:val="center"/>
          <w:rPr>
            <w:rFonts w:ascii="Times New Roman" w:hAnsi="Times New Roman" w:cs="Times New Roman"/>
          </w:rPr>
        </w:pPr>
        <w:r>
          <w:rPr>
            <w:rFonts w:ascii="Times New Roman" w:hAnsi="Times New Roman" w:cs="Times New Roman"/>
          </w:rPr>
          <w:t xml:space="preserve">                                                                                                                              </w:t>
        </w:r>
        <w:r w:rsidR="002D6343">
          <w:rPr>
            <w:rFonts w:ascii="Times New Roman" w:hAnsi="Times New Roman" w:cs="Times New Roman"/>
          </w:rPr>
          <w:t>Surname</w:t>
        </w:r>
        <w:r>
          <w:rPr>
            <w:rFonts w:ascii="Times New Roman" w:hAnsi="Times New Roman" w:cs="Times New Roman"/>
          </w:rPr>
          <w:t xml:space="preserve">   </w:t>
        </w:r>
        <w:r w:rsidRPr="00A84DD6">
          <w:rPr>
            <w:rFonts w:ascii="Times New Roman" w:hAnsi="Times New Roman" w:cs="Times New Roman"/>
          </w:rPr>
          <w:t xml:space="preserve"> </w:t>
        </w:r>
        <w:r w:rsidRPr="00A84DD6">
          <w:rPr>
            <w:rFonts w:ascii="Times New Roman" w:hAnsi="Times New Roman" w:cs="Times New Roman"/>
          </w:rPr>
          <w:fldChar w:fldCharType="begin"/>
        </w:r>
        <w:r w:rsidRPr="00A84DD6">
          <w:rPr>
            <w:rFonts w:ascii="Times New Roman" w:hAnsi="Times New Roman" w:cs="Times New Roman"/>
          </w:rPr>
          <w:instrText xml:space="preserve"> PAGE   \* MERGEFORMAT </w:instrText>
        </w:r>
        <w:r w:rsidRPr="00A84DD6">
          <w:rPr>
            <w:rFonts w:ascii="Times New Roman" w:hAnsi="Times New Roman" w:cs="Times New Roman"/>
          </w:rPr>
          <w:fldChar w:fldCharType="separate"/>
        </w:r>
        <w:r>
          <w:rPr>
            <w:rFonts w:ascii="Times New Roman" w:hAnsi="Times New Roman" w:cs="Times New Roman"/>
            <w:noProof/>
          </w:rPr>
          <w:t>4</w:t>
        </w:r>
        <w:r w:rsidRPr="00A84DD6">
          <w:rPr>
            <w:rFonts w:ascii="Times New Roman" w:hAnsi="Times New Roman" w:cs="Times New Roman"/>
            <w:noProof/>
          </w:rPr>
          <w:fldChar w:fldCharType="end"/>
        </w:r>
      </w:p>
    </w:sdtContent>
  </w:sdt>
  <w:p w14:paraId="38C10531" w14:textId="77777777" w:rsidR="00A84DD6" w:rsidRDefault="009579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6FD"/>
    <w:rsid w:val="000C35A1"/>
    <w:rsid w:val="002D6343"/>
    <w:rsid w:val="00340CF3"/>
    <w:rsid w:val="00442EB9"/>
    <w:rsid w:val="009351BC"/>
    <w:rsid w:val="009579D5"/>
    <w:rsid w:val="009F0ED7"/>
    <w:rsid w:val="00B610BB"/>
    <w:rsid w:val="00BA56FD"/>
    <w:rsid w:val="00BB1544"/>
    <w:rsid w:val="00D57341"/>
    <w:rsid w:val="00E44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192F02"/>
  <w15:chartTrackingRefBased/>
  <w15:docId w15:val="{8771948C-A5B8-8942-823C-8C36D1C11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6FD"/>
  </w:style>
  <w:style w:type="paragraph" w:styleId="Heading1">
    <w:name w:val="heading 1"/>
    <w:basedOn w:val="Normal"/>
    <w:link w:val="Heading1Char"/>
    <w:uiPriority w:val="9"/>
    <w:qFormat/>
    <w:rsid w:val="00BA56F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6F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A56FD"/>
    <w:rPr>
      <w:color w:val="0000FF"/>
      <w:u w:val="single"/>
    </w:rPr>
  </w:style>
  <w:style w:type="paragraph" w:styleId="Header">
    <w:name w:val="header"/>
    <w:basedOn w:val="Normal"/>
    <w:link w:val="HeaderChar"/>
    <w:uiPriority w:val="99"/>
    <w:unhideWhenUsed/>
    <w:rsid w:val="00BA56FD"/>
    <w:pPr>
      <w:tabs>
        <w:tab w:val="center" w:pos="4680"/>
        <w:tab w:val="right" w:pos="9360"/>
      </w:tabs>
    </w:pPr>
  </w:style>
  <w:style w:type="character" w:customStyle="1" w:styleId="HeaderChar">
    <w:name w:val="Header Char"/>
    <w:basedOn w:val="DefaultParagraphFont"/>
    <w:link w:val="Header"/>
    <w:uiPriority w:val="99"/>
    <w:rsid w:val="00BA56FD"/>
  </w:style>
  <w:style w:type="paragraph" w:styleId="Footer">
    <w:name w:val="footer"/>
    <w:basedOn w:val="Normal"/>
    <w:link w:val="FooterChar"/>
    <w:uiPriority w:val="99"/>
    <w:unhideWhenUsed/>
    <w:rsid w:val="00D57341"/>
    <w:pPr>
      <w:tabs>
        <w:tab w:val="center" w:pos="4680"/>
        <w:tab w:val="right" w:pos="9360"/>
      </w:tabs>
    </w:pPr>
  </w:style>
  <w:style w:type="character" w:customStyle="1" w:styleId="FooterChar">
    <w:name w:val="Footer Char"/>
    <w:basedOn w:val="DefaultParagraphFont"/>
    <w:link w:val="Footer"/>
    <w:uiPriority w:val="99"/>
    <w:rsid w:val="00D57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yez.org/cases/1985/85-140" TargetMode="External"/><Relationship Id="rId13" Type="http://schemas.openxmlformats.org/officeDocument/2006/relationships/hyperlink" Target="https://www.foxnews.com/story/supreme-court-overturns-texas-gay-sex-ban" TargetMode="External"/><Relationship Id="rId3" Type="http://schemas.openxmlformats.org/officeDocument/2006/relationships/webSettings" Target="webSettings.xml"/><Relationship Id="rId7" Type="http://schemas.openxmlformats.org/officeDocument/2006/relationships/hyperlink" Target="https://www.oyez.org/cases/1985/85-140" TargetMode="External"/><Relationship Id="rId12" Type="http://schemas.openxmlformats.org/officeDocument/2006/relationships/hyperlink" Target="https://www.oyez.org/cases/1985/85-14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oyez.org/cases/1985/85-140" TargetMode="External"/><Relationship Id="rId11" Type="http://schemas.openxmlformats.org/officeDocument/2006/relationships/hyperlink" Target="mhtml:file://C:\Users\Waqar\Desktop\Lawrence%20v.%20Texas%20-%20Case%20Summary%20and%20Case%20Brief%20(1).mhtml!https://legaldictionary.net/bill-of-right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html:file://C:\Users\Waqar\Desktop\Lawrence%20v.%20Texas%20-%20Case%20Summary%20and%20Case%20Brief%20(1).mhtml!https://legaldictionary.net/stare-decisis/" TargetMode="External"/><Relationship Id="rId4" Type="http://schemas.openxmlformats.org/officeDocument/2006/relationships/footnotes" Target="footnotes.xml"/><Relationship Id="rId9" Type="http://schemas.openxmlformats.org/officeDocument/2006/relationships/hyperlink" Target="mhtml:file://C:\Users\Waqar\Desktop\Lawrence%20v.%20Texas%20-%20Case%20Summary%20and%20Case%20Brief%20(1).mhtml!https://legaldictionary.net/bowers-v-hardwic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2020-04-18T03:09:00Z</cp:lastPrinted>
  <dcterms:created xsi:type="dcterms:W3CDTF">2020-04-28T08:17:00Z</dcterms:created>
  <dcterms:modified xsi:type="dcterms:W3CDTF">2020-04-28T08:17:00Z</dcterms:modified>
</cp:coreProperties>
</file>